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REGULAMIN REKRUTACJI I UCZESTNICTWA W PROJEKCIE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pt. „Aktywna integracja w Gminie Poniec”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FEWP.06.10-IP.01-0006/24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Gwka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Projekt jest współfinansowany ze środków Unii Europejskiej w ramach Programu Regionalnego Fundusze Europejskie dla Wielkopolski 2021-2027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nr wniosku o dofinansowanie: FEWP.06.10-IP.01-0006/24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Postanowienia ogólne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Projekt jest realizowany na terenie Gminy Poniec od 1 marca 2025 roku do dnia 28 lutego 2026 roku, który to określa wniosek o dofinansowanie.</w:t>
      </w:r>
    </w:p>
    <w:p>
      <w:pPr>
        <w:pStyle w:val="ListParagraph"/>
        <w:numPr>
          <w:ilvl w:val="0"/>
          <w:numId w:val="7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Celem głównym projektu jest poprawa sytuacji społecznej i zawodowej 65 osób zagrożonych ubóstwem i wykluczeniem społecznym w Gminie Poniec w okresie od dnia 01.03.2025 do dnia zakończenia projektu.</w:t>
      </w:r>
    </w:p>
    <w:p>
      <w:pPr>
        <w:pStyle w:val="ListParagraph"/>
        <w:numPr>
          <w:ilvl w:val="0"/>
          <w:numId w:val="7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Informacje dotyczące projektu, znajdują się na stronie internetowej: www.poniec.opsinfo.pl.</w:t>
      </w:r>
    </w:p>
    <w:p>
      <w:pPr>
        <w:pStyle w:val="Normal"/>
        <w:spacing w:lineRule="auto" w:line="276"/>
        <w:ind w:left="426" w:hanging="0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2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Słownik pojęć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Cs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Wyjaśnienie pojęć użytych w niniejszym Regulaminie: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Beneficjent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instytucja odpowiedzialna za realizację projektu: Gmina Poniec, ul. Rynek 24, 64-125 Poniec 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Realizator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Ośrodek Pomocy Społecznej w Poniecu, ul. Krobska 45a, 64-125 Poniec;</w:t>
      </w:r>
    </w:p>
    <w:p>
      <w:pPr>
        <w:pStyle w:val="ListParagraph"/>
        <w:numPr>
          <w:ilvl w:val="0"/>
          <w:numId w:val="21"/>
        </w:numPr>
        <w:spacing w:lineRule="auto" w:line="259" w:before="0" w:after="1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Osoba bierna zawodowo (OB)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-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osoba, która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ukończyła 18 lat,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 wieku aktywności zawodowej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 w danej chwili nie tworzy zasobów siły roboczej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(tzn. nie jest osobą pracującą ani bezrobotną)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ponieważ nie jest zatrudniona, nie wykonuje innej pracy zarobkowej oraz nie prowadzi działalności gospodarczej i nie jest zarejestrowana w PUP jako bezrobotny albo poszukujący pracy.</w:t>
      </w:r>
      <w:r>
        <w:rPr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To osoba, która: nie wykonuje pracy zarobkowej,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color w:val="000000" w:themeColor="text1"/>
          <w:sz w:val="22"/>
          <w:szCs w:val="22"/>
        </w:rPr>
        <w:t>nie jest zarejestrowana jako bezrobotna</w:t>
      </w: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 xml:space="preserve">,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color w:val="000000" w:themeColor="text1"/>
          <w:sz w:val="22"/>
          <w:szCs w:val="22"/>
        </w:rPr>
        <w:t>nie poszukuje aktywnie zatrudnienia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. Jest to spowodowane niepełnosprawnością, stanem zdrowia bądź obowiązkami rodzinnymi (np. opieką nad dziećmi/osobą starszą/chorą bądź prowadzeniem domu). Również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 (wówczas status bezrobotnego ma pierwszeństwo); również </w:t>
      </w:r>
      <w:r>
        <w:rPr>
          <w:rFonts w:cs="Arial" w:ascii="Arial" w:hAnsi="Arial"/>
          <w:sz w:val="20"/>
          <w:szCs w:val="20"/>
        </w:rPr>
        <w:t>studenci studiów stacjonarnych, chyba że są już zatrudnieni (również na część etatu) to wówczas powinni być wykazywani jako osoby pracujące</w:t>
      </w:r>
    </w:p>
    <w:p>
      <w:pPr>
        <w:pStyle w:val="Default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Osoba bezrobotna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 – przez osobę bezrobotną rozumie się osobę: która nie jest zatrudniona i nie wykonuje innej pracy zarobkowej/zarejestrowaną w powiatowym urzędzie pracy jako bezrobotna/zdolną i gotową do podjęcia zatrudnienia w pełnym wymiarze czasu pracy (lub co najmniej w połowie – w przypadku osoby z niepełnosprawnością)/która nie uczy się w systemie dziennym oraz aktywnie poszukującą pracy, zgodnie z ustawą z dnia 20 kwietnia 2004 r. o promocji zatrudnienia i instytucjach rynku pracy (Dz.U. z 2023 r. poz. 735).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 xml:space="preserve">Osoba/y/ lub rodzina zagrożona/e ubóstwem lub wykluczeniem społecznym (OWS) -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przez osobę lub rodzinę zagrożoną ubóstwem lub wykluczeniem społecznym rozumie się osobę lub rodzinę, która spełnia co najmniej jedną z przesłanek określonych w art. 7 ustawy z dnia 12 marca 2004 r. o pomocy społecznej (Dz.U. z 2023 r. poz. 901), w szczególności z powodu: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ubóstwa,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bezdomności,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bezrobocia,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niepełnosprawności,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długotrwałej lub ciężkiej choroby,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przemocy w rodzinie,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potrzeby ochrony macierzyństwa lub wielodzietności,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bezradności w prowadzeniu gospodarstwa domowego (szczególnie w rodzinach niepełnych i wielodzietnych),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uzależnień (alkoholizm, narkomania),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trudności w adaptacji po opuszczeniu placówki opiekuńczo-wychowawczej, zakładu karnego, itp.,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lub innych zdarzeń losowych i kryzysowych.</w:t>
      </w:r>
    </w:p>
    <w:p>
      <w:pPr>
        <w:pStyle w:val="ListParagraph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Dodatkowo, za osoby zagrożone wykluczeniem społecznym uważa się również osoby dotknięte wielokrotnym wykluczeniem (np. łączącym ubóstwo z niepełnosprawnością i brakiem zatrudnienia), marginalizacją społeczną oraz osoby z ograniczonym dostępem do usług publicznych, szczególnie na obszarach peryferyjnych.</w:t>
      </w:r>
    </w:p>
    <w:p>
      <w:pPr>
        <w:pStyle w:val="Default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 xml:space="preserve">Ścieżka reintegracji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– zestaw kompleksowych i zindywidualizowanych form wsparcia, mających na celu wyprowadzenie osób, rodzin lub środowiska z ubóstwa lub wykluczenia społecznego. Ścieżka reintegracji może być realizowana w ramach jednego projektu (ścieżka udziału w projekcie) lub – ze względu na złożoność problemów i potrzeb danej osoby, rodziny lub środowiska – wykraczać poza ramy jednego projektu i być kontynuowana w innym projekcie lub poza projektowo. Wsparcie w ramach ścieżki reintegracji może być realizowane przez jedną lub przez kilka instytucji zazwyczaj w sposób sekwencyjny;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Program FE PŻ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- Fundusze Europejskie na Pomoc Żywnościową 2021–2027</w:t>
      </w:r>
    </w:p>
    <w:p>
      <w:pPr>
        <w:pStyle w:val="Default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Usługi aktywnej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integracji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usługi, których celem jest odbudowa i podtrzymanie umiejętności uczestniczenia w życiu społeczności lokalnej i pełnienia ról społecznych w miejscu pracy, zamieszkania lub pobytu (reintegracja społeczna) lub odbudowa i podtrzymanie zdolności do samodzielnego świadczenia pracy na rynku pracy (reintegracja zawodowa), lub zapobieganie procesom ubóstwa, marginalizacji i wykluczenia społecznego. Do usług aktywnej integracji należą usługi o charakterze:</w:t>
      </w:r>
    </w:p>
    <w:p>
      <w:pPr>
        <w:pStyle w:val="Normal"/>
        <w:ind w:left="71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społecznym, których celem jest nabycie, przywrócenie lub wzmocnienie kompetencji społecznych, zaradności, samodzielności i aktywności społecznej (poprzez m.in. udział w zajęciach w CIS, KIS lub WTZ);</w:t>
      </w:r>
    </w:p>
    <w:p>
      <w:pPr>
        <w:pStyle w:val="Normal"/>
        <w:ind w:left="71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zawodowym, których celem jest pomoc w podjęciu decyzji dotyczącej wyboru lub zmiany zawodu, wyposażenie w kompetencje i kwalifikacje zawodowe oraz umiejętności pożądane na rynku pracy (poprzez m.in. udział w zajęciach w CIS, KIS lub WTZ, kursy i szkolenia zawodowe), pomoc w utrzymaniu zatrudnienia;</w:t>
      </w:r>
    </w:p>
    <w:p>
      <w:pPr>
        <w:pStyle w:val="Normal"/>
        <w:ind w:left="71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edukacyjnym, których celem jest wzrost poziomu wykształcenia, dostosowanie wykształcenia do potrzeb rynku pracy (m.in. edukacja formalna);</w:t>
      </w:r>
    </w:p>
    <w:p>
      <w:pPr>
        <w:pStyle w:val="Normal"/>
        <w:ind w:left="71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zdrowotnym, których celem jest wyeliminowanie lub złagodzenie barier zdrowotnych utrudniających funkcjonowanie w społeczeństwie lub powodujących oddalenie od rynku pracy.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 xml:space="preserve">Projekt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– tytuł projektu: „Aktywna integracja w Gminie Poniec” numer projektu: FEWP.06.10-IP.01-0006/24 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realizowany w ramach programu regionalnego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Fundusze Europejskie dla Wielkopolski 2021-2027, Priorytet 6 . Fundusze europejskie dla Wielkopolski o silniejszym wymiarze społecznym (EFS+), Działanie 6.10 Aktywna integracja 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Uczestnik Projektu/Uczestnik/UP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osoba fizyczna, która została zakwalifikowana do udziału w projekcie.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Biuro Projektu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Ośrodek Pomocy Społecznej w Poniecu, ul. Krobska 45a, 64-125 Poniec; 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FEW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– Program Fundusze Europejskie dla Wielkopolski 2021-2027.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3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Warunki uczestnictwa w projekcie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Cs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Wsparcie świadczone w projekcie dla Uczestników Projektu jest bezpłatne. </w:t>
      </w:r>
    </w:p>
    <w:p>
      <w:pPr>
        <w:pStyle w:val="ListParagraph"/>
        <w:numPr>
          <w:ilvl w:val="0"/>
          <w:numId w:val="9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Projekt skierowany jest do grupy docelowej z gminy Poniec. Grupa docelowa projektu to 65 osób zamieszkujących w rozumieniu Kodeksu Cywilnego w województwie wielkopolskim w Gminie Poniec. Wszyscy UP to osoby pozostające bez pracy, zagrożone ubóstwem i wykluczeniem społecznym, w tym osoby z niepełnosprawnościami (10UP).</w:t>
      </w:r>
    </w:p>
    <w:p>
      <w:pPr>
        <w:pStyle w:val="ListParagraph"/>
        <w:numPr>
          <w:ilvl w:val="0"/>
          <w:numId w:val="9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Okres realizacji poszczególnych form wsparcia w ramach projektu, określony w niniejszym Regulaminie jest nie dłuższy niż data końcowa realizacji projektu.</w:t>
      </w:r>
    </w:p>
    <w:p>
      <w:pPr>
        <w:pStyle w:val="ListParagraph"/>
        <w:numPr>
          <w:ilvl w:val="0"/>
          <w:numId w:val="9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 Projektu może utracić prawo do wsparcia (być skreślonym z listy Uczestników Projektu) w przypadku utrudniania realizacji czynności personelowi projektu i/lub Beneficjentowi, nie przestrzegania obowiązujących w Projekcie regulaminów oraz prawa i wytycznych. </w:t>
      </w:r>
    </w:p>
    <w:p>
      <w:pPr>
        <w:pStyle w:val="ListParagraph"/>
        <w:numPr>
          <w:ilvl w:val="0"/>
          <w:numId w:val="9"/>
        </w:numPr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UP muszą spełniać poniższe kryteria dostępu:</w:t>
      </w:r>
    </w:p>
    <w:p>
      <w:pPr>
        <w:pStyle w:val="Default"/>
        <w:numPr>
          <w:ilvl w:val="1"/>
          <w:numId w:val="12"/>
        </w:numPr>
        <w:spacing w:before="0" w:after="68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Status osoby zamieszkującej/ uczącej się zgodnie z Kodeksem Cywilnym na terenie województwa wielkopolskiego, Gminę Poniec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(oświadczenie)</w:t>
      </w:r>
    </w:p>
    <w:p>
      <w:pPr>
        <w:pStyle w:val="Default"/>
        <w:numPr>
          <w:ilvl w:val="1"/>
          <w:numId w:val="12"/>
        </w:numPr>
        <w:spacing w:before="0" w:after="68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Status osoby biernej zawodowo/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niezatrudnionej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z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powodu niepełnosprawności, stanu zdrowia, ze względu na obowiązki rodzinne (opieka nad dziećmi/os starszą/os chorą/prowadzenie domu) lub jako osoba korzystająca ze świadczeń z pomocy społecznej zgodnie z ustawą o pomocy społecznej lub kwalifikującej się do objęcia wsparciem pomocy społecznej, tj. spełniającym min. 1 z przesłanek określ. w art. 7 tej ustawy (zaświadczenie z ZUS lub potwierdzenie wygenerowane z PUE ZUS, potwierdzające status UP jako osoby bezrobotnej lub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biernej zawodowo w dniu jego wydania, zaświadczenie z PUP o posiadaniu statusu osoby bezrobotnej w dniu jego wydania)</w:t>
      </w:r>
    </w:p>
    <w:p>
      <w:pPr>
        <w:pStyle w:val="Default"/>
        <w:numPr>
          <w:ilvl w:val="1"/>
          <w:numId w:val="12"/>
        </w:numPr>
        <w:spacing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Brak uczestnictwa jednocześnie w innym projekcie z zakresu aktywizacji społeczno-zawodowej dofinansowanej z EFS+ (oświadczenie)</w:t>
      </w:r>
    </w:p>
    <w:p>
      <w:pPr>
        <w:pStyle w:val="Default"/>
        <w:numPr>
          <w:ilvl w:val="1"/>
          <w:numId w:val="12"/>
        </w:numPr>
        <w:spacing w:before="0" w:after="68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posiadanie s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tatusu osoby z niepełnosprawnościami (jeśli dotyczy) </w:t>
      </w:r>
    </w:p>
    <w:p>
      <w:pPr>
        <w:pStyle w:val="Default"/>
        <w:numPr>
          <w:ilvl w:val="1"/>
          <w:numId w:val="12"/>
        </w:numPr>
        <w:spacing w:before="0" w:after="68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przynależność do grupy docelowej.</w:t>
      </w:r>
    </w:p>
    <w:p>
      <w:pPr>
        <w:pStyle w:val="ListParagraph"/>
        <w:numPr>
          <w:ilvl w:val="0"/>
          <w:numId w:val="9"/>
        </w:numPr>
        <w:ind w:left="357" w:hanging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Do kryteriów punktowych (preferencyjnych) należą osoby spełniające następujące kryteria:</w:t>
        <w:br/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a) wielokrotne wykluczenie społeczne rozumiane jako wykluczenie z powodu więcej niż 1 z przesłanek kwalifikujących je do wsparcia w projekcie, lub spełniające więcej niż 1 przesłankę określ. w art. 7 ustawy z 12.03.2004 r. o pomocy społecznej (50 pkt.)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b) znaczny lub umiarkowany stopień niepełnosprawności (50 pkt.)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c) z niepełnosprawnością sprzężoną, z chorobami psychicznymi, z niepełnosprawnością 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intelektualną lub osoby z całościowymi zaburzeniami rozwojowymi, w rozumieniu zgodnie z 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Międzynarodową Statystyczną Klasyfikacją Chorób i Problemów Zdrowotnych ICD10 (50 pkt.)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d) korzystające z programu FE PŻ (10 pkt.)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e) opuszczające instytucjonalne formy opieki, takie jak: domy dziecka, młodzieżowe ośrodki 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wychowawcze, placówki opiekuńczo-wychowawcze, domy pomocy społecznej, zakłady </w:t>
      </w:r>
    </w:p>
    <w:p>
      <w:pPr>
        <w:pStyle w:val="ListParagraph"/>
        <w:ind w:left="0" w:firstLine="357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poprawcze lub inne placówki całodobowe (10 pkt.)</w:t>
      </w:r>
    </w:p>
    <w:p>
      <w:pPr>
        <w:pStyle w:val="ListParagraph"/>
        <w:numPr>
          <w:ilvl w:val="1"/>
          <w:numId w:val="12"/>
        </w:numPr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wykluczone komunikacyjnie (10 pkt.)</w:t>
      </w:r>
    </w:p>
    <w:p>
      <w:pPr>
        <w:pStyle w:val="ListParagraph"/>
        <w:numPr>
          <w:ilvl w:val="1"/>
          <w:numId w:val="12"/>
        </w:numPr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osoby, które opuściły jednostki penitencjarne w terminie ostatnich 12 m-cy (10 pkt.)</w:t>
      </w:r>
    </w:p>
    <w:p>
      <w:pPr>
        <w:pStyle w:val="ListParagraph"/>
        <w:numPr>
          <w:ilvl w:val="0"/>
          <w:numId w:val="9"/>
        </w:numPr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przypadku, gdy w projekcie będą brały udział osoby w wieku 18-29 lat aktywizacja społeczno-zawodowa odbywać się będzie zgodnie z Planem realizacji Gwarancji dla młodzieży w Polsce i zapewniona zostanie odpowiednia jakość wsparcia poprzez zdefiniowanie priorytetów tematycznych dla wsparcia, przy czym największy nacisk zostanie położony na umiejętności cyfrowe/umiejętności niezbędne do podjęcia pracy w sektorze zielonej gospodarki/umiejętności niezbędne z punktu widzenia regionalnych/lokalnych specjalizacji/umiejętności niezbędne w zawodach związanych z usługami zdrowotnymi i opiekuńczymi.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W przypadku osób młodych do 29 r.ż., w ciągu pierwszych 4 m-cy od przystąpienia do projektu zapewniona zostanie im oferta zatrudnienia, dalszego kształcenia, przyuczenia do zawodu lub stażu (jeśli wystąpi).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ListParagraph"/>
        <w:ind w:left="720" w:hanging="0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cstheme="minorHAnsi" w:ascii="Calibri" w:hAnsi="Calibri"/>
          <w:color w:val="000000" w:themeColor="text1"/>
          <w:sz w:val="22"/>
          <w:szCs w:val="22"/>
          <w:lang w:eastAsia="en-US"/>
          <w14:ligatures w14:val="standardContextua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ListParagraph"/>
        <w:spacing w:lineRule="auto" w:line="276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4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Procedury rekrutacji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Rekrutacja przeprowadzona będzie na terenie Województwa Wielkopolskiego, w Gminie Poniec w sposób otwarty w dwóch etapach: 1 etap: III-V 2025 r., etap 2: IX-X 2025 r. zgodnie z zasadą równości szans, w tym równości płci, dostępności dla osób z niepełnosprawnościami oraz zasadą niedyskryminacji.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Do projektu przyjętych zostanie min. 65 osób z najwyższą punktacją (wymienioną w § 3). 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przypadku zgłoszenia się większej liczby zainteresowanych udziałem w projekcie zostanie utworzona lista rezerwowa, tworzona na takich samych zasadach jak lista podstawowa. 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przypadku  rezygnacji Uczestnika, zmiany jego sytuacji zdrowotnej i/lub społeczno – ekonomicznej, skreślenia Uczestnika z listy Uczestników Projektu, śmierci Uczestnika wolne miejsce zajmie pierwsza osoba z listy rezerwowej. 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przypadku w którym wszystkie osoby z list podstawowych i rezerwowych zostaną objęte wsparciem w projekcie, a powstanie wolne miejsce w projekcie Beneficjent ogłosi nabór uzupełniający na zasadach jak przy pierwszej rekrutacji, zostaną stworzone listy rankingowe. Do projektu zostaną zakwalifikowani Uczestnicy jak w pierwszej rekrutacji.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Beneficjent zastrzega możliwość zwiększenia liczby osób zakwalifikowanych do objęcia wsparciem w sytuacji, kiedy będzie dysponował niewykorzystaną pulą godzin w zakresie danej formy wsparcia.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Rekrutacja będzie prowadzona w sposób bezstronny, jawny, z warunkami jednakowymi dla wszystkich Uczestników, zgodnie z zasadą powszechnej dostępności.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Informacje o naborze będą publikowane na stronie OPS Poniec, w lokalnych mediach i instytucjach. Spotkania informacyjne będą prowadzone w miejscach dostępnych dla OzN lub w formie online/telefonicznej. Formularze zgłoszeniowe wraz z niezbędnymi oświadczeniami oraz regulamin będą dostępne online, w OPS lub przesyłane pocztą.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Osoba chcąca wziąć udział w projekcie i spełniająca kryteria dostępu  dokonuje zgłoszenia do udziału w projekcie poprzez wypełnienie (papierowo lub elektronicznie) i złożenie w wersji papierowej wypełnionej i czytelnie podpisanej dokumentacji rekrutacyjnej.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Zasady przyjmowania zgłoszeń: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wszystkie dokumenty zgłoszeniowe do projektu są dostępne w Biurze Projektu. Dokumenty zgłoszeniowe należy wypełnić czytelnie, podpisać oraz dostarczyć osobiście lub pocztą do Biura Projektu albo poprzez odbiór przez osobę z zespołu projektowego.</w:t>
      </w:r>
    </w:p>
    <w:p>
      <w:pPr>
        <w:pStyle w:val="Default"/>
        <w:numPr>
          <w:ilvl w:val="1"/>
          <w:numId w:val="13"/>
        </w:numPr>
        <w:spacing w:lineRule="auto" w:line="276" w:before="0" w:after="73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o przyjęciu decyduje pozytywna weryfikacja formalno-merytoryczna złożonych dokumentów na podstawie Karty Oceny Formalno-Merytorycznej, która będzie obejmować m.in. </w:t>
      </w: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spełnienie kryteriów dostępu, tj. kryteriów obowiązkowych dla wszystkich uczestników projektu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: data zaświadczenia z ZUS, termin złożenia dokumentów, odpowiednie wzory dokumentów, dołączenie wszystkich wymaganych załączników, czytelne podpisy Uczestników w odpowiednich miejscach formularza, oświadczenie o miejscu zamieszkania Kandydata na terenie Gminy Poniec, akceptacja warunków uczestnictwa w projekcie, akceptacja informacji dotyczącej przetwarzania danych osobowych w celu monitoringu i ewaluacji projektu oraz wykorzystania wizerunku w celu udokumentowania realizacji projektu, akceptacja warunków zawartych w Regulaminie Projektu, oświadczenie o prawdziwości danych zawartych w formularzu zgłoszeniowym. Istnieje możliwość uzupełnienia złożonych dokumentów w terminie 7 dni roboczych. </w:t>
      </w:r>
    </w:p>
    <w:p>
      <w:pPr>
        <w:pStyle w:val="Normal"/>
        <w:numPr>
          <w:ilvl w:val="1"/>
          <w:numId w:val="1"/>
        </w:numPr>
        <w:tabs>
          <w:tab w:val="clear" w:pos="708"/>
        </w:tabs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warunkiem ostatecznego zakwalifikowania do udziału w projekcie jest:</w:t>
      </w:r>
    </w:p>
    <w:p>
      <w:pPr>
        <w:pStyle w:val="Normal"/>
        <w:numPr>
          <w:ilvl w:val="1"/>
          <w:numId w:val="2"/>
        </w:numPr>
        <w:spacing w:lineRule="auto" w:line="276"/>
        <w:ind w:left="1361" w:hanging="284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zaakceptowanie niniejszego Regulaminu poprzez podpisanie oświadczenia,</w:t>
      </w:r>
    </w:p>
    <w:p>
      <w:pPr>
        <w:pStyle w:val="Normal"/>
        <w:numPr>
          <w:ilvl w:val="1"/>
          <w:numId w:val="2"/>
        </w:numPr>
        <w:spacing w:lineRule="auto" w:line="276"/>
        <w:ind w:left="1361" w:hanging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złożenie kompletu poprawnie wypełnionych i podpisanych dokumentów zgłoszeniowych wraz z załącznikami,</w:t>
      </w:r>
    </w:p>
    <w:p>
      <w:pPr>
        <w:pStyle w:val="ListParagraph"/>
        <w:numPr>
          <w:ilvl w:val="1"/>
          <w:numId w:val="1"/>
        </w:numPr>
        <w:tabs>
          <w:tab w:val="clear" w:pos="708"/>
        </w:tabs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o zakwalifikowaniu do udziału w projekcie Beneficjent poinformuje Uczestnika Projektu drogą mailową, telefoniczną lub bezpośrednio w terminie co najmniej 3 dni przed rozpoczęciem wsparcia. </w:t>
      </w:r>
    </w:p>
    <w:p>
      <w:pPr>
        <w:pStyle w:val="ListParagraph"/>
        <w:numPr>
          <w:ilvl w:val="1"/>
          <w:numId w:val="1"/>
        </w:numPr>
        <w:tabs>
          <w:tab w:val="clear" w:pos="708"/>
        </w:tabs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dokumenty rekrutacyjne będą przechowywane w Biurze Projektu.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Rekrutacja i realizacja projektu będzie zgodna ze Standardami dostępności dla polityki spójności 2021- 2027.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Uczestnik projektu nie może otrzymywać równocześnie wsparcia w więcej niż jednym projekcie z zakresu aktywizacji społeczno-zawodowej dofinansowanym ze środków EFS+.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 projekcie zapewniona zostanie przejrzystość procesu rekrutacji oraz warunków realizacji</w:t>
      </w:r>
    </w:p>
    <w:p>
      <w:pPr>
        <w:pStyle w:val="Default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poszczególnych form wsparcia, m.in. poprzez stworzenie regulaminu projektu.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celu ułatwienia procesu rekrutacji i udziału w projekcie OzN będzie on tak zaplanowany, aby nie ograniczał nikomu dostępu. Zostaną zastosowane m.in. takie usprawnienia jak: </w:t>
      </w:r>
    </w:p>
    <w:p>
      <w:pPr>
        <w:pStyle w:val="ListParagraph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zapewnienie materiałów w formie elektronicznej, zastosowanie większej czcionki na wydrukach, 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dostosowanie stron internetowych do standardów WCAG 2.1, na których będą publikowane 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informacje o projekcie oraz dokumenty rekrutacyjne,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zapewnienie różnych sposobów informowania o możliwości udziału w projekcie: plakaty, strony 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www itp.,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umieszczenie w materiałach informacyjnych i rekrutacyjnych informacji o możliwości 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skorzystania z usług dostępowych (np. takich jak tłumacz języka migowego, asystent OzN),   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materiały szkoleniowe w dostępnej formie,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- umieszczenie w materiałach informacyjnych i rekrutacyjnych opisu dostępności biura 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projektu/miejsc rekrutacji, </w:t>
      </w:r>
    </w:p>
    <w:p>
      <w:pPr>
        <w:pStyle w:val="Normal"/>
        <w:spacing w:lineRule="auto" w:line="276"/>
        <w:ind w:firstLine="284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- umieszczenie w formularzu zgłoszeniowym pytania o specjalne potrzeby kandydata/ki.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Na dokumentację rekrutacyjną składa się: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Formularz zgłoszeniowy do projektu: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Deklaracja uczestnictwa w projekcie 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oświadczenia Uczestnika Projektu;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Kserokopia zaświadczenia z ZUS o bierności zawodowej </w:t>
      </w:r>
    </w:p>
    <w:p>
      <w:pPr>
        <w:pStyle w:val="ListParagraph"/>
        <w:numPr>
          <w:ilvl w:val="0"/>
          <w:numId w:val="18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Aktualnego (nie starszego niż rok) orzeczeni o niepełnosprawności bądź innego dokumentu poświadczającego stan zdrowia (dotyczy osób z niepełnosprawnościami);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Komisja Rekrutacyjna składa się z wyznaczonych pracowników OPS. Komisja Rekrutacyjna na  podstawie kryteriów ustala listę osób przyjętych. Od decyzji Komisji przysługuje odwołanie w  terminie do 3 dni roboczych (z zachowaniem formy pisemnej).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 przypadku nieosiągnięcia zakładanej liczby Uczestników/czek projektu przeprowadzona zostaną zintensyfikowane działania informacyjno-promocyjne np. współpraca z parafiami, zintensyfikowana współpraca z lokalnymi NGO.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Termin prowadzenia rekrutacji może ulec wydłużeniu na kolejny miesiąc/e w przypadku nie osiągnięcia zakładanej liczby Uczestników/czek projektu.</w:t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§5</w:t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Zasady uczestnictwa w projekcie</w:t>
      </w:r>
    </w:p>
    <w:p>
      <w:pPr>
        <w:pStyle w:val="Default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Default"/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Udział Uczestników/czek w projekcie rozpoczyna się z dniem otrzymania pierwszej formy wsparcia w ramach projektu.</w:t>
      </w:r>
    </w:p>
    <w:p>
      <w:pPr>
        <w:pStyle w:val="Default"/>
        <w:spacing w:lineRule="auto" w:line="276" w:before="0" w:after="68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§6</w:t>
      </w:r>
    </w:p>
    <w:p>
      <w:pPr>
        <w:pStyle w:val="Default"/>
        <w:spacing w:lineRule="auto" w:line="276" w:before="0" w:after="68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Uprawnienia i obowiązki uczestnika projektu</w:t>
      </w:r>
    </w:p>
    <w:p>
      <w:pPr>
        <w:pStyle w:val="Default"/>
        <w:numPr>
          <w:ilvl w:val="0"/>
          <w:numId w:val="15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Uczestnik/czka projektu jest uprawniony/a do: </w:t>
      </w:r>
    </w:p>
    <w:p>
      <w:pPr>
        <w:pStyle w:val="Default"/>
        <w:numPr>
          <w:ilvl w:val="1"/>
          <w:numId w:val="14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nieodpłatnego udziału w projekcie </w:t>
      </w:r>
    </w:p>
    <w:p>
      <w:pPr>
        <w:pStyle w:val="Default"/>
        <w:numPr>
          <w:ilvl w:val="1"/>
          <w:numId w:val="14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nieodpłatnego udziału w oferowanych w ramach projektu formach wsparcia, </w:t>
      </w:r>
    </w:p>
    <w:p>
      <w:pPr>
        <w:pStyle w:val="Default"/>
        <w:numPr>
          <w:ilvl w:val="0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Uczestnik/czka Projektu jest zobowiązany/a do: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uczestnictwa w oferowanym w ramach projektu wsparciu, wynikającym z opracowanej wspólnie ścieżki wsparcia,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wyrażenia zgody na gromadzenie i przetwarzanie danych osobowych,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wypełniania ankiet przeprowadzanych podczas trwania projektu,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wypełniania innych dokumentów związanych z realizacją projektu,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przestrzegania Regulaminu rekrutacji i uczestnictwa w projekcie,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przestrzegania oraz realizowania zapisów umowy o uczestnictwo w projekcie, 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systematycznego uczestniczenia w zajęciach,</w:t>
      </w:r>
    </w:p>
    <w:p>
      <w:pPr>
        <w:pStyle w:val="Default"/>
        <w:numPr>
          <w:ilvl w:val="1"/>
          <w:numId w:val="17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natychmiastowego informowania kierownika projektu o zmianie jakichkolwiek danych osobowych i kontaktowych wpisanych w formularzu zgłoszeniowym oraz o zmianie swojej sytuacji zawodowej, (np. podjęcie zatrudnienia) oraz udzielania wszelkich informacji związanych z uczestnictwem w projekcie.  </w:t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§7</w:t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Nieobecność i rezygnacja z uczestnictwa w projekcie</w:t>
      </w:r>
    </w:p>
    <w:p>
      <w:pPr>
        <w:pStyle w:val="Default"/>
        <w:spacing w:lineRule="auto" w:line="276" w:before="0" w:after="71"/>
        <w:ind w:left="357" w:hanging="0"/>
        <w:jc w:val="center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Default"/>
        <w:numPr>
          <w:ilvl w:val="0"/>
          <w:numId w:val="16"/>
        </w:numPr>
        <w:spacing w:lineRule="auto" w:line="276" w:before="0" w:after="71"/>
        <w:ind w:left="357" w:hanging="36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Obecność na zajęciach przewidzianych dla Uczestnika/czki Projektu jest obowiązkowa. </w:t>
      </w:r>
    </w:p>
    <w:p>
      <w:pPr>
        <w:pStyle w:val="Default"/>
        <w:numPr>
          <w:ilvl w:val="0"/>
          <w:numId w:val="16"/>
        </w:numPr>
        <w:spacing w:lineRule="auto" w:line="276" w:before="0" w:after="71"/>
        <w:ind w:left="357" w:hanging="36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Uczestnik/czka projektu ma obowiązek niezwłocznie poinformować Kierownika o przyczynach nieobecności na zajęciach. </w:t>
      </w:r>
    </w:p>
    <w:p>
      <w:pPr>
        <w:pStyle w:val="Default"/>
        <w:numPr>
          <w:ilvl w:val="0"/>
          <w:numId w:val="16"/>
        </w:numPr>
        <w:spacing w:lineRule="auto" w:line="276" w:before="0" w:after="71"/>
        <w:ind w:left="357" w:hanging="36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Każdy zakwalifikowany Uczestnik/czka projektu może opuścić maksymalnie 20% godzin zajęć poszczególnych form wsparcia. </w:t>
      </w:r>
    </w:p>
    <w:p>
      <w:pPr>
        <w:pStyle w:val="Default"/>
        <w:numPr>
          <w:ilvl w:val="0"/>
          <w:numId w:val="16"/>
        </w:numPr>
        <w:spacing w:lineRule="auto" w:line="276" w:before="0" w:after="71"/>
        <w:ind w:left="357" w:hanging="36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Uczestnik/czka projektu może zostać skreślony z listy uczestników/czek, gdy liczba jego nieobecności na zajęciach przekracza 20% ogólnej liczby zajęć. </w:t>
      </w:r>
    </w:p>
    <w:p>
      <w:pPr>
        <w:pStyle w:val="Default"/>
        <w:numPr>
          <w:ilvl w:val="0"/>
          <w:numId w:val="16"/>
        </w:numPr>
        <w:spacing w:lineRule="auto" w:line="276" w:before="0" w:after="71"/>
        <w:ind w:left="360" w:hanging="36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 szczególnych sytuacjach losowych uniemożliwiających uczestnictwo w projekcie (np. długotrwała choroba, zmiana miejsca zamieszkania, inny ważny powód), UP mają prawo do rezygnacji z uczestnictwa w projekcie, po złożeniu pisemnego oświadczenia o rezygnacji i jej przyczynach.</w:t>
      </w:r>
    </w:p>
    <w:p>
      <w:pPr>
        <w:pStyle w:val="Default"/>
        <w:spacing w:lineRule="auto" w:line="276" w:before="0" w:after="71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§8</w:t>
      </w:r>
    </w:p>
    <w:p>
      <w:pPr>
        <w:pStyle w:val="Default"/>
        <w:spacing w:lineRule="auto" w:line="276" w:before="0" w:after="71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Zakres wsparcia</w:t>
      </w:r>
    </w:p>
    <w:p>
      <w:pPr>
        <w:pStyle w:val="Default"/>
        <w:spacing w:lineRule="auto" w:line="276" w:before="0" w:after="71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Default"/>
        <w:numPr>
          <w:ilvl w:val="6"/>
          <w:numId w:val="16"/>
        </w:numPr>
        <w:spacing w:lineRule="auto" w:line="276" w:before="0" w:after="71"/>
        <w:ind w:left="357" w:hanging="357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 xml:space="preserve">Przygotowanie Indywidualnych Ścieżek Reintegracji (IŚR) 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- aby zapewnić UP zindywidualizowane i kompleksowe wsparcie, nieograniczające możliwości dostępu do poszczególnych usług i odpowiednie na jego indywidualne potrzeby, dla wszystkich 65UP zostanie przeprowadzona indywidualna diagnoza potrzeb, opracowana indywidualna ścieżka reintegracji społeczno–zawodowej (IŚR) i podpisany kontrakt socjalny, z których wynikać będą formy wsparcia niezbędne do poprawy sytuacji społeczno- zawodowej UP i/lub zmierzające do podjęcia zatrudnienia. W trakcie tworzenia IPD zidentyfikowany zostanie powód bierności zawodowej, przeprowadzona zostanie analiza potencjału UP, uwarunkowań zdrowotnych i społecznych, przyczyn pozostawania bez pracy i deficytów UP, predyspozycji zawodowych oraz wskazanie kierunków rozwoju UP. Na IŚR składać się będzie: </w:t>
      </w:r>
    </w:p>
    <w:p>
      <w:pPr>
        <w:pStyle w:val="Default"/>
        <w:spacing w:lineRule="auto" w:line="276"/>
        <w:ind w:left="357" w:hanging="0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>spotkanie z psychologiem, który porozmawia z UP i ustali jego sytuację psychologiczną, by nie kierować UP do wsparcia, które jest niedostosowane do sytuacji psychologicznej UP. Psycholog zrobi test motywacyjny (2 h/UP, łącznie 130h).</w:t>
      </w:r>
    </w:p>
    <w:p>
      <w:pPr>
        <w:pStyle w:val="Default"/>
        <w:spacing w:lineRule="auto" w:line="276"/>
        <w:ind w:left="357" w:hanging="0"/>
        <w:jc w:val="both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spotkanie z doradcą zawodowym, który stworzy dla niego część indywidualnej ścieżki reintegracji (IŚR) w zakresie aktywizacji zawodowej (2 h/UP, 130h). </w:t>
      </w:r>
    </w:p>
    <w:p>
      <w:pPr>
        <w:pStyle w:val="Default"/>
        <w:spacing w:lineRule="auto" w:line="276" w:before="0" w:after="71"/>
        <w:ind w:left="348" w:hanging="0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-  spotkanie z pracownikiem socjalnym (3h/UP, łącznie: 195h). Na pierwszych spotkaniach dokona identyfikacji indywidualnych problemów UP w obszarach funkcjonowania osobistego, społecznego oraz barier utrudniających integrację społeczną. Wyznaczy kierunki i wymiar wsparcia UP (IŚW).  Z każdym UP zostanie podpisany kontrakt socjalny lub inny rodzaj programu przewidzianego w ustawie o pomocy społecznej. </w:t>
      </w:r>
    </w:p>
    <w:p>
      <w:pPr>
        <w:pStyle w:val="Default"/>
        <w:spacing w:lineRule="auto" w:line="276" w:before="0" w:after="71"/>
        <w:ind w:left="348" w:hanging="0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>- przez cały okres wsparcia pracownik socjalny będzie spotykać się z UP, monitorować postępy UP i stopień realizacji IŚW, ewentualnie modyfikować zapisy ww. ścieżki, tak aby dostosować wsparcie w projekcie do zmieniających się potrzeb UP (spotkania po śr. 2h monitoringu/m-c/UP x 5m-cy).</w:t>
      </w:r>
    </w:p>
    <w:p>
      <w:pPr>
        <w:pStyle w:val="Default"/>
        <w:numPr>
          <w:ilvl w:val="6"/>
          <w:numId w:val="16"/>
        </w:numPr>
        <w:spacing w:lineRule="auto" w:line="276" w:before="0" w:after="80"/>
        <w:ind w:left="357" w:hanging="357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W ramach AKTYWIZACJI SPOŁECZNEJ w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 projekcie przewidziano działania związane z przywróceniem/wzmocnieniem kompetencji społecznych, zaradności, samodzielności i aktywności społecznej dla 65UP. Zaplanowano realizację:</w:t>
      </w:r>
    </w:p>
    <w:p>
      <w:pPr>
        <w:pStyle w:val="Default"/>
        <w:numPr>
          <w:ilvl w:val="1"/>
          <w:numId w:val="15"/>
        </w:numPr>
        <w:spacing w:lineRule="auto" w:line="276" w:before="0" w:after="80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Treningów umiejętności społecznej - 6 grup po śr. 10-11 os. Każda grupa Zajęcia po 8 godz. lekcyjnych (łącznie: 48godz. w projekcie).   efekty treningu to m.in.: skuteczna komunikacja z otoczeniem, nawiązywanie pozytywnych relacji międzyludzkich, przełamywanie barier izolacji, pełnienie ról społecznych, samodzielność, podejmowanie decyzji, budowanie poczucia własnej wartości, radzenie sobie ze stresem w trudnych sytuacjach, asertywność, techniki kreatywnego rozwiązywania problemów.</w:t>
      </w:r>
    </w:p>
    <w:p>
      <w:pPr>
        <w:pStyle w:val="Default"/>
        <w:numPr>
          <w:ilvl w:val="1"/>
          <w:numId w:val="15"/>
        </w:numPr>
        <w:spacing w:lineRule="auto" w:line="276" w:before="0" w:after="80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Warsztatów zdrowego odżywiania - 6 grup po śr. 10-11 os. Każda grupa zajęcia po 8 godz.  obejmują teoretyczne i praktyczne zajęcia, które pomagają UP zrozumieć zasady właściwej diety oraz nauczyć się przygotowywać zdrowe posiłki. Tematyka warsztatów będzie obejmować wybór odpowiednich produktów spożywczych, unikanie niezdrowych składników, a także komponowanie jadłospisu uwzględniającego ew. schorzenia UP.</w:t>
      </w:r>
    </w:p>
    <w:p>
      <w:pPr>
        <w:pStyle w:val="Default"/>
        <w:numPr>
          <w:ilvl w:val="1"/>
          <w:numId w:val="15"/>
        </w:numPr>
        <w:spacing w:lineRule="auto" w:line="276" w:before="0" w:after="80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Treningów ekonomicznych dla 30 osób tj. 3 gr x  10 os. x 8h (łącznie w projekcie 24 godz.) - celem treningu jest wzmocnienie i rozwój umiejętności wykorzystania czynności życia codziennego w obszarze kształtowania i podtrzymywania orientacji w wartości pieniądza i towaru oraz umiejętności planowania wydatków według swoich potrzeb i możliwości. Podczas treningu zostaną omówione m.in. historia zadłużenia UP, bilans szkód i problemów, budżet domowy – bilansowanie wpływów i wydatków, planowanie zmiany w zarządzaniu finansami.</w:t>
      </w:r>
    </w:p>
    <w:p>
      <w:pPr>
        <w:pStyle w:val="Default"/>
        <w:numPr>
          <w:ilvl w:val="1"/>
          <w:numId w:val="15"/>
        </w:numPr>
        <w:spacing w:lineRule="auto" w:line="276" w:before="0" w:after="80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Warsztaty zajęciowe dla osób chętnych – min. 4 gr x 3 h/tydz x 5 m-cy- obejmują teoretyczne i praktyczne zajęcia, które pomagają UP angażować się w różnego rodzaju prace, dzięki czemu rozwijać będą umiejętności społeczne, interpersonalne, umiejętności pracy w grupie i w zakresie wypełniania ról społecznych. Program każdej z sesji będzie układany w zależności od potrzeb i preferencji tematycznych UP. Tematyka warsztatów będzie obejmować m.in.: zajęcia plastyczne (malowanie, wycinanie),  ruchowe, sportowe, taneczne, teatralne, słowo–terapię w formie dyskusji i wyrażania swoich myśli np. zajęcia kulturalne, językowe, komputerowe,  muzyczne, czy ćwiczenia rytmiczne. Zostaną zapewnione materiały do zajęć.</w:t>
      </w:r>
    </w:p>
    <w:p>
      <w:pPr>
        <w:pStyle w:val="Default"/>
        <w:numPr>
          <w:ilvl w:val="1"/>
          <w:numId w:val="15"/>
        </w:numPr>
        <w:spacing w:lineRule="auto" w:line="276" w:before="0" w:after="80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Każdy UP otrzyma certyfikat potwierdzający uczestnictwo w ww. treningach. Przewidziano catering oraz materiały zużywalne i informacyjne.</w:t>
      </w:r>
    </w:p>
    <w:p>
      <w:pPr>
        <w:pStyle w:val="Default"/>
        <w:spacing w:lineRule="auto" w:line="276" w:before="80" w:after="80"/>
        <w:jc w:val="both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6"/>
          <w:numId w:val="16"/>
        </w:numPr>
        <w:ind w:left="357" w:hanging="357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 xml:space="preserve">W ramach AKTYWIZACJI SPOŁECZNEJ dla wszystkich 65 UP. przewidziano również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organizację wydarzeń o charakterze kulturalnym, aktywizacyjnym bądź animacyjnym, w których uczestniczyć będą UP (4 wydarzenia/UP). Będą to np. wyjście do kina, teatru, na basen, koncert czy kabaret. Ich celem jest wzrost aktywności społecznej UP.</w:t>
      </w:r>
    </w:p>
    <w:p>
      <w:pPr>
        <w:pStyle w:val="ListParagraph"/>
        <w:numPr>
          <w:ilvl w:val="6"/>
          <w:numId w:val="16"/>
        </w:numPr>
        <w:ind w:left="357" w:hanging="357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 xml:space="preserve">W ramach AKTYWIZACJI SPOŁECZNEJ zostaną zorganizowane również  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>3 działania środowiskowe tj. imprezy integracyjne/edukacyjne bądź festyny. Będą w nich uczestniczyć UP i ich otoczenie, w tym rodziny, mieszkańcy gminy oraz przedstawiciele lokalnych instytucji. Głównym celem w/w imprez jest integracja UP ze środowiskiem lokalnym oraz wzrost ich aktywności społecznej. UP będą czynnie uczestniczyć w przygotowaniu i realizacji w/w wydarzeń  poprzez tworzenie koncepcji przedsięwzięcia i jego wspólnej realizacji w celu pobudzenia u UP chęci aktywnego udziału w życiu społecznym, zwiększenia ich zaradności, samodzielności, motywacji do działania i poczucia przydatności społecznej.</w:t>
      </w:r>
    </w:p>
    <w:p>
      <w:pPr>
        <w:pStyle w:val="ListParagraph"/>
        <w:numPr>
          <w:ilvl w:val="6"/>
          <w:numId w:val="16"/>
        </w:numPr>
        <w:ind w:left="357" w:hanging="357"/>
        <w:jc w:val="both"/>
        <w:rPr>
          <w:rFonts w:ascii="Calibri" w:hAnsi="Calibri" w:eastAsia="NimbusSans-Regular" w:cs="Calibri" w:asciiTheme="minorHAnsi" w:cstheme="minorHAnsi" w:hAnsiTheme="minorHAnsi"/>
          <w:bCs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W projekcie istnieje konieczność zapewnienia działań, które mają na celu wyeliminowanie lub złagodzenie barier zdrowotnych utrudniających funkcjonowanie w społeczeństwie lub powodujących oddalenie od rynku pracy OzN. Dlatego w ramach </w:t>
      </w: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WSPARCIA DLA OSÓB Z NIEPEŁNOSPRAWNOŚCIAMI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 (tj. 10 UP) zaplanowano: </w:t>
      </w:r>
    </w:p>
    <w:p>
      <w:pPr>
        <w:pStyle w:val="ListParagraph"/>
        <w:numPr>
          <w:ilvl w:val="0"/>
          <w:numId w:val="19"/>
        </w:numPr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usługi profilaktyczno- diagnostyczne z  fizjoterapeutą - śr. 2 h/mc x 10 m-cy (łącznie 200h), </w:t>
      </w:r>
    </w:p>
    <w:p>
      <w:pPr>
        <w:pStyle w:val="ListParagraph"/>
        <w:numPr>
          <w:ilvl w:val="0"/>
          <w:numId w:val="19"/>
        </w:numPr>
        <w:jc w:val="both"/>
        <w:rPr>
          <w:rFonts w:ascii="Calibri" w:hAnsi="Calibri" w:eastAsia="NimbusSans-Regular" w:cs="Calibri" w:asciiTheme="minorHAnsi" w:cstheme="minorHAnsi" w:hAnsiTheme="minorHAnsi"/>
          <w:bCs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>indywidualne poradnictwo psychologiczne – śr. 10 h/UP (łącznie 100h).</w:t>
      </w:r>
    </w:p>
    <w:p>
      <w:pPr>
        <w:pStyle w:val="ListParagraph"/>
        <w:ind w:left="357" w:hanging="0"/>
        <w:jc w:val="both"/>
        <w:rPr>
          <w:rFonts w:ascii="Calibri" w:hAnsi="Calibri" w:cs="Calibri" w:asciiTheme="minorHAnsi" w:cstheme="minorHAnsi" w:hAnsiTheme="minorHAnsi"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>Do aktywizacji zdrowotnej będzie kierował Pracownik socjalny, który w kontrakcie socjalnym/IPD  zawrze odpowiednie zapisy.</w:t>
      </w:r>
    </w:p>
    <w:p>
      <w:pPr>
        <w:pStyle w:val="Default"/>
        <w:numPr>
          <w:ilvl w:val="6"/>
          <w:numId w:val="16"/>
        </w:numPr>
        <w:spacing w:lineRule="auto" w:line="276" w:before="80" w:after="80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  <w14:numSpacing w14:val="proportional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W ramach </w:t>
      </w:r>
      <w:r>
        <w:rPr>
          <w:rFonts w:cs="Calibri" w:ascii="Calibri" w:hAnsi="Calibri" w:asciiTheme="minorHAnsi" w:cstheme="minorHAnsi" w:hAnsiTheme="minorHAnsi"/>
          <w:b/>
          <w:color w:val="000000" w:themeColor="text1"/>
          <w:sz w:val="22"/>
          <w:szCs w:val="22"/>
        </w:rPr>
        <w:t>AKTYWIZACJI ZAWODOWEJ</w:t>
      </w:r>
      <w:r>
        <w:rPr>
          <w:rStyle w:val="Zakotwiczenieprzypisudolnego"/>
          <w:rStyle w:val="Zakotwiczenieprzypisudolnego"/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footnoteReference w:id="2"/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 oraz w celu dopasowania kwalifikacji/kompetencji do potrzeb rynku pracy d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  <w14:numSpacing w14:val="proportional"/>
        </w:rPr>
        <w:t xml:space="preserve">la 50 UP na terenie powiatu gostyńskiego zorganizowane zostaną szkolenia zawodowe. Tematyka szkoleń (SZK) będzie określana indywidualnie, na podstawie wyników IŚR (w tym IPD), monitoringu lokalnego rynku pracy i współpracy z lokalnymi przedsiębiorcami oraz dostosowana do indywidualnych  potrzeb UP (ze szczególnym uwzględnieniem potrzeb kobiet). Przewidziano stypendium SZK wypłacane na zasadach określonych w Ustawie o promocji zatrudnienia. Wsparcie udzielane w ramach kursów/SZK nie może być krótsze niż 30 h, dlatego średnio założono 50 godz. SZK/UP. Wszystkie SZK w projekcie kończą się weryfikacją uzyskanych kompetencji/ kwalifikacji, tj.  egzaminem. Efektem szkolenia będzie nabycie kwalifikacji/ kompetencji (konkretnych efektów uczenia się uzyskiwanych w toku szkolenia) potwierdzonych odpowiednim dokumentem (np. certyfikatem), który będzie zawierać informacje na temat uzyskanych przez UP efektów uczenia się w rozumieniu wytycznych monitorowania postępu rzeczowego na lata 2021–2027 i LWK 2021 dla EFS+. Zapewnione będą ułatwienia dla OzN (dostosowane do rodzaju niepełnosprawności UP). </w:t>
      </w:r>
    </w:p>
    <w:p>
      <w:pPr>
        <w:pStyle w:val="Default"/>
        <w:numPr>
          <w:ilvl w:val="6"/>
          <w:numId w:val="16"/>
        </w:numPr>
        <w:spacing w:lineRule="auto" w:line="276" w:before="80" w:after="80"/>
        <w:ind w:left="357" w:hanging="357"/>
        <w:jc w:val="both"/>
        <w:rPr>
          <w:rFonts w:ascii="Calibri" w:hAnsi="Calibri" w:eastAsia="NimbusSans-Regular" w:cs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2"/>
          <w:szCs w:val="22"/>
        </w:rPr>
        <w:t xml:space="preserve">W ramach </w:t>
      </w:r>
      <w:r>
        <w:rPr>
          <w:rFonts w:eastAsia="NimbusSans-Regular" w:cs="Calibri" w:ascii="Calibri" w:hAnsi="Calibri" w:asciiTheme="minorHAnsi" w:cstheme="minorHAnsi" w:hAnsiTheme="minorHAnsi"/>
          <w:b/>
          <w:color w:val="000000" w:themeColor="text1"/>
          <w:sz w:val="22"/>
          <w:szCs w:val="22"/>
          <w:lang w:eastAsia="en-US"/>
          <w14:ligatures w14:val="standardContextual"/>
        </w:rPr>
        <w:t>AKTYWIZACJI ZAWODOWEJ</w:t>
      </w: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 zaplanowano również staże zawodowe dla 12 UP. Staże realizowane będą w firmach/instytucjach z województwie wielkopolskim w powiecie gostyńskim i będą trwać 4 miesiące, w wymiarze 160h/mc dla osób pełnosprawnych i OzN w stopniu lekkim oraz w wymiarze 140h/mc dla pozostałych UP. Staże będą realizowane zgodnie z Ustawą o promocji zatrudnienia, Polskimi Ramami Staży i Praktyk, zaleceniem Rady z 10.03.2014 r. w sprawie ram jakości staży, wytycznymi EFS+ oraz Regulaminem Konkursu. Staż będzie odbywać się na podstawie umowy stażowej, która zawiera warunki stażu (m.in. okres, wysokość stypendium, miejsce prac, zakres obowiązków, dane opiekuna). Zadania UP wykonywane będą w ramach programu stażu, który jest opracowywany indywidualnie, z uwzględnieniem potrzeb i potencjału UP. UP wykonuje pracę pod nadzorem opiekuna ze strony przyjmującego, który wprowadza stażystę w zakres obowiązków, zapoznaje z zasadami i procedurami, monitoruje realizację obowiązków i celów edukacyjno-zawodowych, udziela informacji UP o osiąganych wynikach i stopniu realizacji zadań. Stażyście przysługuje miesięczne stypendium w wys. 120% zasiłku, o którym mowa w art. 72 ust. 1 pkt. 1 ustawy o promocji zatrudnienia i instytucjach rynku pracy, naliczane proporcjonalnie do godzin stażu zrealizowanych przez stażystę (wypłata z dołu, obliczana co m-c na podst. list obecności, zwolnień L4 itp.). Każdy pracodawca oddeleguje opiekuna stażysty. Każdemu stażyście będzie przysługiwało dodatkowe wsparcie w postaci zwrotu kosztów dojazdu (najtańszym środkiem transportu). Warunkiem otrzymania zaświadczenia o ukończeniu stażu jest pozytywna pisemna opinia podmiotu przyjmującego na staż oraz brak nieusprawiedliwionych absencji. Zarówno opinia jak i zaświadczenie o odbyciu stażu zostaną wystawione przez podmiot przyjmujący na staż.</w:t>
      </w:r>
    </w:p>
    <w:p>
      <w:pPr>
        <w:pStyle w:val="ListParagraph"/>
        <w:numPr>
          <w:ilvl w:val="6"/>
          <w:numId w:val="16"/>
        </w:numPr>
        <w:spacing w:lineRule="auto" w:line="276"/>
        <w:ind w:left="357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eastAsia="NimbusSans-Regular" w:cs="Calibri" w:ascii="Calibri" w:hAnsi="Calibri" w:asciiTheme="minorHAnsi" w:cstheme="minorHAnsi" w:hAnsiTheme="minorHAnsi"/>
          <w:color w:val="000000" w:themeColor="text1"/>
          <w:sz w:val="22"/>
          <w:szCs w:val="22"/>
          <w:lang w:eastAsia="en-US"/>
          <w14:ligatures w14:val="standardContextual"/>
        </w:rPr>
        <w:t xml:space="preserve">W ramach AKTYWIZACJI ZAWODOWEJ dla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20 UP zorganizowane zostanie również wsparcie w postaci konsultacji z pośrednikiem pracy (śr. 4 h/UP, razem 80h w projekcie). Pośrednictwo obejmuje kompleksowe działania w zakresie wyboru zatrudnienia zgodnie z kompetencjami UP. Pośrednik pracy, po zapoznaniu się z IŚR oraz po przeprowadzeniu rozmowy z UP, opracuje profil zawodowy UP, który posłuży jako baza do poszukiwania ofert pracy dla UP oraz będzie prowadził efektywne pośrednictwo tj. działania zmierzające bezpośrednio do pozyskania pracy (np. rozmowy z potencjalnymi pracodawcami).</w:t>
      </w:r>
    </w:p>
    <w:p>
      <w:pPr>
        <w:pStyle w:val="ListParagraph"/>
        <w:numPr>
          <w:ilvl w:val="6"/>
          <w:numId w:val="16"/>
        </w:numPr>
        <w:tabs>
          <w:tab w:val="left" w:pos="1440" w:leader="none"/>
        </w:tabs>
        <w:spacing w:lineRule="auto" w:line="276"/>
        <w:ind w:left="28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ramach AKTYWIZACJI ZAWODOWEJ przewidziano również grupowe warsztaty motywacyjne dla wszystkich 65 UP (30h/gr x 6 gr = 180 h w projekcie). Program warsztatów obejmuje m.in.: wprowadzenie i budowanie motywacji, określenie swoich mocnych stron i zasobów,  planowanie kariery i rozwój umiejętności, określanie celów zawodowych, rozwijanie kompetencji kluczowych na rynku pracy, trendy na rynku pracy, kreatywne sposoby poszukiwania pracy, narzędzia aktywizacji zawodowej (m.in. profesjonalne CV i list motywacyjny).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Calibri" w:hAnsi="Calibri" w:eastAsia="NimbusSans-Regular" w:cs="Calibri" w:asciiTheme="minorHAnsi" w:cstheme="minorHAnsi" w:hAnsiTheme="minorHAnsi"/>
          <w:b/>
          <w:b/>
          <w:bCs/>
          <w:color w:val="000000" w:themeColor="text1"/>
          <w:sz w:val="22"/>
          <w:szCs w:val="22"/>
          <w:lang w:eastAsia="en-US"/>
          <w14:ligatures w14:val="standardContextual"/>
        </w:rPr>
      </w:pPr>
      <w:r>
        <w:rPr>
          <w:rFonts w:eastAsia="NimbusSans-Regular"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  <w:lang w:eastAsia="en-US"/>
          <w14:ligatures w14:val="standardContextual"/>
        </w:rPr>
        <w:t xml:space="preserve">Usługi aktywnej integracji o charakterze zawodowym (m.in. staże) nie mogą stanowić pierwszego elementu wsparcia w ramach ścieżki reintegracji i muszą zostać poprzedzone udziałem w wybranej aktywizacji społecznej.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10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Uprawnienia i obowiązki Uczestników Projektu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ramach udziału w projekcie, Uczestnicy otrzymają wsparcie w postaci usług społecznych opisanych w niniejszym Regulaminie.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Uczestnicy, biorący udział w projekcie są zobowiązani do:</w:t>
      </w:r>
    </w:p>
    <w:p>
      <w:pPr>
        <w:pStyle w:val="ListParagraph"/>
        <w:numPr>
          <w:ilvl w:val="0"/>
          <w:numId w:val="10"/>
        </w:numPr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współpracy z Beneficjentem/Realizatorem oraz ich pracownikami i podwykonawcami;</w:t>
      </w:r>
    </w:p>
    <w:p>
      <w:pPr>
        <w:pStyle w:val="ListParagraph"/>
        <w:numPr>
          <w:ilvl w:val="0"/>
          <w:numId w:val="10"/>
        </w:numPr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rzetelnego i terminowego dostarczania informacji wskazywanych przez Beneficjenta;</w:t>
      </w:r>
    </w:p>
    <w:p>
      <w:pPr>
        <w:pStyle w:val="ListParagraph"/>
        <w:numPr>
          <w:ilvl w:val="0"/>
          <w:numId w:val="10"/>
        </w:numPr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uczestnictwa w miarę możliwości w spotkaniach organizacyjnych;</w:t>
      </w:r>
    </w:p>
    <w:p>
      <w:pPr>
        <w:pStyle w:val="ListParagraph"/>
        <w:numPr>
          <w:ilvl w:val="0"/>
          <w:numId w:val="10"/>
        </w:numPr>
        <w:spacing w:lineRule="auto" w:line="276"/>
        <w:ind w:left="714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wypełniania testów monitoringowych, ewaluacyjnych oraz wszelkich dokumentów niezbędnych do prawidłowej realizacji projektu w czasie jego trwania.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Uczestnicy/opiekunowie prawni są zobowiązani do udzielania wszelkich informacji związanych              z uczestnictwem w projekcie instytucjom zaangażowanym we wdrażanie FEW.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11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Zasady monitoringu Uczestników Projektu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Uczestnik Projektu zobowiązuje się do wypełniania list obecności, ankiet oraz wszystkich dokumentów niezbędnych do prawidłowej realizacji projektu. 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Uczestnik Projektu wyraża zgodę na wykorzystanie jego wizerunku. W celu udokumentowania prowadzonych form wsparcia, będzie prowadzona dokumentacja zdjęciowa i papierowa.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Uczestnik Projektu zobowiązuje się podać Beneficjentowi dane, które wymagane są do wprowadzenia w systemie SM EFS, CST2021.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Uczestnik Projektu już w trakcie rekrutacji akceptuje zasady ewaluacji projektu, co poświadcza osobiście podpisem na informacji dotyczącej przetwarzania danych osobowych.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Dane osobowe, o których mowa w pkt. 4 przetwarzane będą w celu umożliwienia aplikowania </w:t>
        <w:br/>
        <w:t>o udział w projekcie, udzielenia wsparcia, monitoringu, kontroli, ewaluacji, audytu i sprawozdawczości projektu.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12</w:t>
        <w:br/>
        <w:t>Zasady rezygnacji z udziału w projekcie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Z ważnej przyczyny Uczestnik może wycofać się z udziału w projekcie, do którego został zakwalifikowany, na więcej niż 14 dni przed rozpoczęciem wsparcia, informując o tym Beneficjenta na piśmie. 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Dopuszcza się wycofanie Uczestnika z projektu w terminie krótszym niż 14 dni przed rozpoczęciem wsparcia w przypadku sytuacji losowej (np. niezaplanowany pobyt w szpitalu), która musi zostać potwierdzona odpowiednią dokumentacją.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Uczestnicy/opiekunowie prawni mają obowiązek zgłoszenia Kierownikowi Projektu informacji               o rezygnacji z udziału w projekcie.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W przypadku wycofania lub rezygnacji Uczestnika z udziału w projekcie w trakcie trwania projektu, Beneficjent może żądać, aby Uczestnik przedłożył zaświadczenia lekarskie lub inne dokumenty usprawiedliwiające wycofanie lub rezygnację danego Uczestnika. 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Niniejsze postanowienie wynika z faktu, iż projekt jest finansowany ze środków publicznych,                  w związku z czym na Beneficjencie spoczywa szczególny obowiązek dbałości o ich prawidłowe               i zgodne z założonymi celami wydatkowanie.</w:t>
      </w:r>
    </w:p>
    <w:p>
      <w:pPr>
        <w:pStyle w:val="Normal"/>
        <w:numPr>
          <w:ilvl w:val="1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Beneficjent zastrzega sobie prawo skreślenia Uczestnika Projektu z listy Uczestników w przypadku naruszenia przez Uczestnika Projektu niniejszego Regulaminu oraz zasad współżycia społecznego.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13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Standardy dostępności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Dostępność architektoniczna: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  <w:highlight w:val="yellow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  <w:highlight w:val="yellow"/>
        </w:rPr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Ośrodek Pomocy Społecznej w Poniecu mieści się w budynku udostępnionym przez Gminę, przy ul. Krobskiej 45a. Budynek znajduje się przy jednej z głównych ulic miasta i usytuowany jest frontem do ulicy. Wejście jest ogólnodostępne w godzinach pracy urzędu. Ogólnodostępny parking znajduje się za budynkiem oraz po przeciwnej stronie ulicy. Wejście główne do budynku nie jest wyposażone w podjazdy dla wózków, czy windę. Do budynku istnieje możliwość wejścia z psem asystującym. Na pierwsze piętro, gdzie mieści się siedziba Ośrodka prowadzą dwuetapowe schody. Jest to jedyna droga za pośrednictwem, której można dostać się do Ośrodka Pomocy Społecznej. W przypadku niemożności wejścia interesanta do budynku istnieje możliwość zejścia pracownika zajmującego się daną sprawą. Rozmieszczenie mebli nie utrudnia poruszania się po korytarzu i nie zawęża jego wymaganej szerokości.   </w:t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 trakcie realizacji projektu osobom z niepełnosprawnościami zapewniony zostanie równy dostęp do wsparcia oferowanego w projekcie. Wszelkie sprawy związane z projektem, a także rekrutację można przeprowadzić w systemie zdalnym (telefonicznie lub przez stronę internetową dostosowaną do standardów WCAG 2.1).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§ 14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Postanowienia końcowe</w:t>
        <w:br/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Regulamin wchodzi w życie z dniem 01.03.2025 r. i obowiązuje do dnia zakończenia projektu.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Beneficjent zastrzega sobie prawo do zmiany Regulaminu.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Sprawy nieuregulowane w niniejszym Regulaminie rozstrzygane są przez Beneficjenta.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Uczestnik Projektu pisemnie potwierdza zapoznanie się z Regulaminem Projektu, poprzez złożenie oświadczenia.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Regulamin jest dostępny w Biurze Projektu oraz na stronie internetowej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color w:val="000000" w:themeColor="text1"/>
            <w:sz w:val="22"/>
            <w:szCs w:val="22"/>
          </w:rPr>
          <w:t>www.poniec.opsinfo.pl</w:t>
        </w:r>
      </w:hyperlink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b/>
          <w:b/>
          <w:color w:val="000000" w:themeColor="text1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Jakiekolwiek pytania na temat projektu należy kierować na adres mailowy</w:t>
      </w:r>
      <w:r>
        <w:rPr>
          <w:rFonts w:cs="Calibri" w:ascii="Calibri" w:hAnsi="Calibri" w:asciiTheme="minorHAnsi" w:cstheme="minorHAnsi" w:hAnsiTheme="minorHAnsi"/>
          <w:i/>
          <w:iCs/>
          <w:color w:val="000000" w:themeColor="text1"/>
          <w:sz w:val="22"/>
          <w:szCs w:val="22"/>
        </w:rPr>
        <w:t>: poniec@opsinfo.pl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color w:val="000000" w:themeColor="text1"/>
          <w:sz w:val="22"/>
          <w:szCs w:val="22"/>
        </w:rPr>
      </w:r>
    </w:p>
    <w:p>
      <w:pPr>
        <w:pStyle w:val="Default"/>
        <w:spacing w:lineRule="auto" w:line="276" w:before="0" w:after="71"/>
        <w:ind w:left="360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cstheme="minorHAnsi" w:ascii="Calibri" w:hAnsi="Calibri"/>
          <w:b/>
          <w:color w:val="000000" w:themeColor="text1"/>
          <w:sz w:val="22"/>
          <w:szCs w:val="22"/>
        </w:rPr>
      </w:r>
    </w:p>
    <w:p>
      <w:pPr>
        <w:pStyle w:val="Normal"/>
        <w:tabs>
          <w:tab w:val="left" w:pos="5400" w:leader="none"/>
        </w:tabs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cs="Calibri Light" w:ascii="Calibri Light" w:hAnsi="Calibri Light"/>
        <w:sz w:val="22"/>
        <w:szCs w:val="22"/>
      </w:rPr>
      <w:fldChar w:fldCharType="begin"/>
    </w:r>
    <w:r>
      <w:rPr>
        <w:sz w:val="22"/>
        <w:szCs w:val="22"/>
        <w:rFonts w:cs="Calibri Light" w:ascii="Calibri Light" w:hAnsi="Calibri Light"/>
      </w:rPr>
      <w:instrText> PAGE </w:instrText>
    </w:r>
    <w:r>
      <w:rPr>
        <w:sz w:val="22"/>
        <w:szCs w:val="22"/>
        <w:rFonts w:cs="Calibri Light" w:ascii="Calibri Light" w:hAnsi="Calibri Light"/>
      </w:rPr>
      <w:fldChar w:fldCharType="separate"/>
    </w:r>
    <w:r>
      <w:rPr>
        <w:sz w:val="22"/>
        <w:szCs w:val="22"/>
        <w:rFonts w:cs="Calibri Light" w:ascii="Calibri Light" w:hAnsi="Calibri Light"/>
      </w:rPr>
      <w:t>12</w:t>
    </w:r>
    <w:r>
      <w:rPr>
        <w:sz w:val="22"/>
        <w:szCs w:val="22"/>
        <w:rFonts w:cs="Calibri Light" w:ascii="Calibri Light" w:hAnsi="Calibri Light"/>
      </w:rP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efault"/>
        <w:spacing w:before="0" w:after="71"/>
        <w:jc w:val="both"/>
        <w:rPr>
          <w:rFonts w:ascii="Calibri" w:hAnsi="Calibri" w:cs="Calibri" w:asciiTheme="minorHAnsi" w:cstheme="minorHAnsi" w:hAnsiTheme="minorHAnsi"/>
          <w:color w:val="000000" w:themeColor="text1"/>
          <w:sz w:val="22"/>
          <w:szCs w:val="2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Wsparcie w projekcie realizowane będzie zgodnie z Ustawą o promocji zatrudnienia i instytucji rynku pracy oraz zgodnie z wytycznymi dotyczącymi realizacji projektu z udziałem środków EFS+ w regionalnych programach na lata 2021-2027.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9450" cy="72961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13" wp14:anchorId="2CA4FC06">
              <wp:simplePos x="0" y="0"/>
              <wp:positionH relativeFrom="column">
                <wp:posOffset>-37465</wp:posOffset>
              </wp:positionH>
              <wp:positionV relativeFrom="paragraph">
                <wp:posOffset>-118110</wp:posOffset>
              </wp:positionV>
              <wp:extent cx="5965825" cy="1905"/>
              <wp:effectExtent l="0" t="0" r="36195" b="19050"/>
              <wp:wrapNone/>
              <wp:docPr id="1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pt,-9.35pt" to="466.65pt,-9.35pt" ID="Line 6" stroked="t" style="position:absolute" wp14:anchorId="2CA4FC06">
              <v:stroke color="black" weight="9360" joinstyle="round" endcap="flat"/>
              <v:fill o:detectmouseclick="t" on="false"/>
            </v:line>
          </w:pict>
        </mc:Fallback>
      </mc:AlternateContent>
    </w:r>
  </w:p>
  <w:p>
    <w:pPr>
      <w:pStyle w:val="Gw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5" wp14:anchorId="58D490FB">
              <wp:simplePos x="0" y="0"/>
              <wp:positionH relativeFrom="column">
                <wp:posOffset>-33655</wp:posOffset>
              </wp:positionH>
              <wp:positionV relativeFrom="paragraph">
                <wp:posOffset>108585</wp:posOffset>
              </wp:positionV>
              <wp:extent cx="5965825" cy="1905"/>
              <wp:effectExtent l="0" t="0" r="36195" b="19050"/>
              <wp:wrapNone/>
              <wp:docPr id="3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7pt,8.55pt" to="466.95pt,8.55pt" ID="Line 6" stroked="t" style="position:absolute" wp14:anchorId="58D490FB">
              <v:stroke color="black" weight="9360" joinstyle="round" endcap="flat"/>
              <v:fill o:detectmouseclick="t" on="false"/>
            </v:line>
          </w:pict>
        </mc:Fallback>
      </mc:AlternateContent>
    </w:r>
    <w:r>
      <w:rPr/>
      <w:t xml:space="preserve">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sz w:val="22"/>
        <w:b w:val="false"/>
        <w:rFonts w:ascii="Calibri" w:hAnsi="Calibri" w:eastAsia="Times New Roman" w:cs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  <w:sz w:val="22"/>
        <w:b/>
        <w:rFonts w:cs="Verdan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 w:val="false"/>
        <w:bCs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bCs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7873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  <w:position w:val="0"/>
        <w:sz w:val="22"/>
        <w:sz w:val="22"/>
        <w:szCs w:val="22"/>
        <w:rFonts w:ascii="Calibri" w:hAnsi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284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7"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79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1779b2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779b2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semiHidden/>
    <w:qFormat/>
    <w:rsid w:val="001779b2"/>
    <w:rPr>
      <w:rFonts w:ascii="Tahoma" w:hAnsi="Tahoma" w:eastAsia="Times New Roman" w:cs="Tahoma"/>
      <w:kern w:val="0"/>
      <w:sz w:val="16"/>
      <w:szCs w:val="16"/>
      <w:lang w:eastAsia="pl-PL"/>
      <w14:ligatures w14:val="none"/>
    </w:rPr>
  </w:style>
  <w:style w:type="character" w:styleId="Czeinternetowe">
    <w:name w:val="Łącze internetowe"/>
    <w:rsid w:val="001779b2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1779b2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semiHidden/>
    <w:qFormat/>
    <w:rsid w:val="001779b2"/>
    <w:rPr>
      <w:vertAlign w:val="superscript"/>
    </w:rPr>
  </w:style>
  <w:style w:type="character" w:styleId="Strong">
    <w:name w:val="Strong"/>
    <w:uiPriority w:val="22"/>
    <w:qFormat/>
    <w:rsid w:val="001779b2"/>
    <w:rPr>
      <w:b/>
      <w:bCs/>
    </w:rPr>
  </w:style>
  <w:style w:type="character" w:styleId="Annotationreference">
    <w:name w:val="annotation reference"/>
    <w:uiPriority w:val="99"/>
    <w:qFormat/>
    <w:rsid w:val="001779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779b2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1779b2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1779b2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779b2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1779b2"/>
    <w:rPr>
      <w:rFonts w:ascii="Consolas" w:hAnsi="Consolas"/>
      <w:kern w:val="0"/>
      <w:sz w:val="21"/>
      <w:szCs w:val="21"/>
      <w14:ligatures w14:val="non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1779b2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1779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79b2"/>
    <w:rPr>
      <w:color w:val="808080"/>
      <w:shd w:fill="E6E6E6" w:val="clear"/>
    </w:rPr>
  </w:style>
  <w:style w:type="character" w:styleId="ListLabel1">
    <w:name w:val="ListLabel 1"/>
    <w:qFormat/>
    <w:rPr>
      <w:rFonts w:eastAsia="Times New Roman" w:cs="Calibri"/>
      <w:b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rFonts w:cs="Verdana"/>
      <w:b/>
      <w:sz w:val="22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 w:val="false"/>
      <w:bCs w:val="false"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 w:val="false"/>
      <w:i w:val="false"/>
      <w:sz w:val="22"/>
    </w:rPr>
  </w:style>
  <w:style w:type="character" w:styleId="ListLabel8">
    <w:name w:val="ListLabel 8"/>
    <w:qFormat/>
    <w:rPr>
      <w:b/>
      <w:bCs/>
      <w:sz w:val="22"/>
    </w:rPr>
  </w:style>
  <w:style w:type="character" w:styleId="ListLabel9">
    <w:name w:val="ListLabel 9"/>
    <w:qFormat/>
    <w:rPr>
      <w:b w:val="false"/>
      <w:bCs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  <w:color w:val="00000A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rFonts w:cs="Verdana"/>
    </w:rPr>
  </w:style>
  <w:style w:type="character" w:styleId="ListLabel15">
    <w:name w:val="ListLabel 15"/>
    <w:qFormat/>
    <w:rPr>
      <w:rFonts w:eastAsia="Times New Roman" w:cs="Calibri"/>
    </w:rPr>
  </w:style>
  <w:style w:type="character" w:styleId="ListLabel16">
    <w:name w:val="ListLabel 16"/>
    <w:qFormat/>
    <w:rPr>
      <w:b w:val="false"/>
      <w:sz w:val="22"/>
    </w:rPr>
  </w:style>
  <w:style w:type="character" w:styleId="ListLabel17">
    <w:name w:val="ListLabel 17"/>
    <w:qFormat/>
    <w:rPr>
      <w:color w:val="00000A"/>
    </w:rPr>
  </w:style>
  <w:style w:type="character" w:styleId="ListLabel18">
    <w:name w:val="ListLabel 18"/>
    <w:qFormat/>
    <w:rPr>
      <w:rFonts w:eastAsia="Times New Roman" w:cs="Calibri Light"/>
      <w:b w:val="false"/>
    </w:rPr>
  </w:style>
  <w:style w:type="character" w:styleId="ListLabel19">
    <w:name w:val="ListLabel 19"/>
    <w:qFormat/>
    <w:rPr>
      <w:rFonts w:eastAsia="Times New Roman" w:cs="Calibri Light"/>
      <w:b w:val="false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Arial"/>
    </w:rPr>
  </w:style>
  <w:style w:type="character" w:styleId="ListLabel24">
    <w:name w:val="ListLabel 24"/>
    <w:qFormat/>
    <w:rPr>
      <w:rFonts w:eastAsia="Times New Roman" w:cs="Calibri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rFonts w:eastAsia="Times New Roman" w:cs="Arial"/>
    </w:rPr>
  </w:style>
  <w:style w:type="character" w:styleId="ListLabel27">
    <w:name w:val="ListLabel 27"/>
    <w:qFormat/>
    <w:rPr>
      <w:rFonts w:eastAsia="Times New Roman" w:cs="Calibri"/>
    </w:rPr>
  </w:style>
  <w:style w:type="character" w:styleId="ListLabel28">
    <w:name w:val="ListLabel 28"/>
    <w:qFormat/>
    <w:rPr>
      <w:rFonts w:cs="Verdana"/>
    </w:rPr>
  </w:style>
  <w:style w:type="character" w:styleId="ListLabel29">
    <w:name w:val="ListLabel 29"/>
    <w:qFormat/>
    <w:rPr>
      <w:rFonts w:cs="Verdana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Verdana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color w:val="00000A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rFonts w:eastAsia="Times New Roman"/>
      <w:b w:val="false"/>
      <w:color w:val="00000A"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rFonts w:eastAsia="Times New Roman" w:cs="Calibri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Times New Roman" w:cs="Calibri"/>
      <w:b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Arial"/>
      <w:sz w:val="18"/>
      <w:szCs w:val="18"/>
    </w:rPr>
  </w:style>
  <w:style w:type="character" w:styleId="ListLabel59">
    <w:name w:val="ListLabel 59"/>
    <w:qFormat/>
    <w:rPr>
      <w:rFonts w:cs="Arial"/>
      <w:i w:val="false"/>
      <w:color w:val="00000A"/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rFonts w:eastAsia="Times New Roman" w:cs="Calibri"/>
    </w:rPr>
  </w:style>
  <w:style w:type="character" w:styleId="ListLabel88">
    <w:name w:val="ListLabel 88"/>
    <w:qFormat/>
    <w:rPr>
      <w:rFonts w:eastAsia="Times New Roman" w:cs="Calibri"/>
    </w:rPr>
  </w:style>
  <w:style w:type="character" w:styleId="ListLabel89">
    <w:name w:val="ListLabel 89"/>
    <w:qFormat/>
    <w:rPr>
      <w:rFonts w:eastAsia="Times New Roman" w:cs="Calibri Light"/>
    </w:rPr>
  </w:style>
  <w:style w:type="character" w:styleId="ListLabel90">
    <w:name w:val="ListLabel 90"/>
    <w:qFormat/>
    <w:rPr>
      <w:position w:val="0"/>
      <w:sz w:val="22"/>
      <w:sz w:val="22"/>
      <w:szCs w:val="22"/>
      <w:vertAlign w:val="baseline"/>
    </w:rPr>
  </w:style>
  <w:style w:type="character" w:styleId="ListLabel91">
    <w:name w:val="ListLabel 91"/>
    <w:qFormat/>
    <w:rPr>
      <w:rFonts w:eastAsia="Times New Roman" w:cs="Calibri Light"/>
    </w:rPr>
  </w:style>
  <w:style w:type="character" w:styleId="ListLabel92">
    <w:name w:val="ListLabel 92"/>
    <w:qFormat/>
    <w:rPr>
      <w:position w:val="0"/>
      <w:sz w:val="22"/>
      <w:sz w:val="22"/>
      <w:szCs w:val="22"/>
      <w:vertAlign w:val="baseline"/>
    </w:rPr>
  </w:style>
  <w:style w:type="character" w:styleId="ListLabel93">
    <w:name w:val="ListLabel 93"/>
    <w:qFormat/>
    <w:rPr>
      <w:b w:val="false"/>
    </w:rPr>
  </w:style>
  <w:style w:type="character" w:styleId="ListLabel94">
    <w:name w:val="ListLabel 94"/>
    <w:qFormat/>
    <w:rPr>
      <w:color w:val="00000A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ascii="Calibri" w:hAnsi="Calibri" w:cs="Calibri" w:asciiTheme="minorHAnsi" w:cstheme="minorHAnsi" w:hAnsiTheme="minorHAnsi"/>
      <w:color w:val="000000" w:themeColor="text1"/>
      <w:sz w:val="22"/>
      <w:szCs w:val="22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ListLabel108">
    <w:name w:val="ListLabel 108"/>
    <w:qFormat/>
    <w:rPr>
      <w:rFonts w:ascii="Calibri" w:hAnsi="Calibri" w:eastAsia="Times New Roman" w:cs="Calibri"/>
      <w:b w:val="false"/>
      <w:sz w:val="22"/>
    </w:rPr>
  </w:style>
  <w:style w:type="character" w:styleId="ListLabel109">
    <w:name w:val="ListLabel 109"/>
    <w:qFormat/>
    <w:rPr>
      <w:color w:val="00000A"/>
    </w:rPr>
  </w:style>
  <w:style w:type="character" w:styleId="ListLabel110">
    <w:name w:val="ListLabel 110"/>
    <w:qFormat/>
    <w:rPr>
      <w:rFonts w:ascii="Calibri" w:hAnsi="Calibri" w:cs="Verdana"/>
      <w:b/>
      <w:sz w:val="22"/>
    </w:rPr>
  </w:style>
  <w:style w:type="character" w:styleId="ListLabel111">
    <w:name w:val="ListLabel 111"/>
    <w:qFormat/>
    <w:rPr>
      <w:rFonts w:ascii="Calibri" w:hAnsi="Calibri"/>
      <w:b/>
      <w:sz w:val="22"/>
    </w:rPr>
  </w:style>
  <w:style w:type="character" w:styleId="ListLabel112">
    <w:name w:val="ListLabel 112"/>
    <w:qFormat/>
    <w:rPr>
      <w:rFonts w:ascii="Calibri" w:hAnsi="Calibri"/>
      <w:b w:val="false"/>
      <w:bCs w:val="false"/>
      <w:sz w:val="22"/>
    </w:rPr>
  </w:style>
  <w:style w:type="character" w:styleId="ListLabel113">
    <w:name w:val="ListLabel 113"/>
    <w:qFormat/>
    <w:rPr>
      <w:rFonts w:ascii="Calibri" w:hAnsi="Calibri"/>
      <w:b/>
      <w:sz w:val="22"/>
    </w:rPr>
  </w:style>
  <w:style w:type="character" w:styleId="ListLabel114">
    <w:name w:val="ListLabel 114"/>
    <w:qFormat/>
    <w:rPr>
      <w:rFonts w:ascii="Calibri" w:hAnsi="Calibri"/>
      <w:b w:val="false"/>
      <w:i w:val="false"/>
      <w:sz w:val="22"/>
    </w:rPr>
  </w:style>
  <w:style w:type="character" w:styleId="ListLabel115">
    <w:name w:val="ListLabel 115"/>
    <w:qFormat/>
    <w:rPr>
      <w:rFonts w:ascii="Calibri" w:hAnsi="Calibri"/>
      <w:b/>
      <w:bCs/>
      <w:sz w:val="22"/>
    </w:rPr>
  </w:style>
  <w:style w:type="character" w:styleId="ListLabel116">
    <w:name w:val="ListLabel 116"/>
    <w:qFormat/>
    <w:rPr>
      <w:b w:val="false"/>
      <w:bCs/>
    </w:rPr>
  </w:style>
  <w:style w:type="character" w:styleId="ListLabel117">
    <w:name w:val="ListLabel 117"/>
    <w:qFormat/>
    <w:rPr>
      <w:rFonts w:ascii="Calibri" w:hAnsi="Calibri"/>
      <w:b w:val="false"/>
      <w:sz w:val="22"/>
    </w:rPr>
  </w:style>
  <w:style w:type="character" w:styleId="ListLabel118">
    <w:name w:val="ListLabel 118"/>
    <w:qFormat/>
    <w:rPr>
      <w:color w:val="00000A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eastAsia="Times New Roman" w:cs="Calibri"/>
    </w:rPr>
  </w:style>
  <w:style w:type="character" w:styleId="ListLabel128">
    <w:name w:val="ListLabel 128"/>
    <w:qFormat/>
    <w:rPr>
      <w:rFonts w:eastAsia="Times New Roman" w:cs="Calibri Light"/>
    </w:rPr>
  </w:style>
  <w:style w:type="character" w:styleId="ListLabel129">
    <w:name w:val="ListLabel 129"/>
    <w:qFormat/>
    <w:rPr>
      <w:rFonts w:ascii="Calibri" w:hAnsi="Calibri"/>
      <w:position w:val="0"/>
      <w:sz w:val="22"/>
      <w:sz w:val="22"/>
      <w:szCs w:val="22"/>
      <w:vertAlign w:val="baseline"/>
    </w:rPr>
  </w:style>
  <w:style w:type="character" w:styleId="ListLabel130">
    <w:name w:val="ListLabel 130"/>
    <w:qFormat/>
    <w:rPr>
      <w:rFonts w:ascii="Arial" w:hAnsi="Arial" w:cs="Symbol"/>
      <w:sz w:val="20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Calibri" w:hAnsi="Calibri" w:cs="Calibri" w:asciiTheme="minorHAnsi" w:cstheme="minorHAnsi" w:hAnsiTheme="minorHAnsi"/>
      <w:color w:val="000000" w:themeColor="text1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1779b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rsid w:val="001779b2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1779b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semiHidden/>
    <w:qFormat/>
    <w:rsid w:val="001779b2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semiHidden/>
    <w:rsid w:val="001779b2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1779b2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1779b2"/>
    <w:pPr/>
    <w:rPr/>
  </w:style>
  <w:style w:type="paragraph" w:styleId="Annotationtext">
    <w:name w:val="annotation text"/>
    <w:basedOn w:val="Normal"/>
    <w:link w:val="TekstkomentarzaZnak"/>
    <w:uiPriority w:val="99"/>
    <w:qFormat/>
    <w:rsid w:val="001779b2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1779b2"/>
    <w:pPr/>
    <w:rPr>
      <w:b/>
      <w:bCs/>
    </w:rPr>
  </w:style>
  <w:style w:type="paragraph" w:styleId="ListParagraph">
    <w:name w:val="List Paragraph"/>
    <w:basedOn w:val="Normal"/>
    <w:uiPriority w:val="34"/>
    <w:qFormat/>
    <w:rsid w:val="001779b2"/>
    <w:pPr>
      <w:ind w:left="708" w:hanging="0"/>
    </w:pPr>
    <w:rPr/>
  </w:style>
  <w:style w:type="paragraph" w:styleId="NoSpacing">
    <w:name w:val="No Spacing"/>
    <w:qFormat/>
    <w:rsid w:val="001779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  <w14:ligatures w14:val="none"/>
    </w:rPr>
  </w:style>
  <w:style w:type="paragraph" w:styleId="Default" w:customStyle="1">
    <w:name w:val="Default"/>
    <w:qFormat/>
    <w:rsid w:val="001779b2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  <w14:ligatures w14:val="none"/>
    </w:rPr>
  </w:style>
  <w:style w:type="paragraph" w:styleId="Wcicietrecitekstu">
    <w:name w:val="Body Text Indent"/>
    <w:basedOn w:val="Normal"/>
    <w:link w:val="TekstpodstawowywcityZnak"/>
    <w:uiPriority w:val="99"/>
    <w:rsid w:val="001779b2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1779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  <w14:ligatures w14:val="none"/>
    </w:rPr>
  </w:style>
  <w:style w:type="paragraph" w:styleId="PlainText">
    <w:name w:val="Plain Text"/>
    <w:basedOn w:val="Normal"/>
    <w:link w:val="ZwykytekstZnak"/>
    <w:uiPriority w:val="99"/>
    <w:unhideWhenUsed/>
    <w:qFormat/>
    <w:rsid w:val="001779b2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Revision">
    <w:name w:val="Revision"/>
    <w:uiPriority w:val="99"/>
    <w:semiHidden/>
    <w:qFormat/>
    <w:rsid w:val="001779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  <w14:ligatures w14:val="none"/>
    </w:rPr>
  </w:style>
  <w:style w:type="paragraph" w:styleId="Przypisdolny">
    <w:name w:val="Footnote Text"/>
    <w:basedOn w:val="Normal"/>
    <w:link w:val="TekstprzypisudolnegoZnak"/>
    <w:uiPriority w:val="99"/>
    <w:unhideWhenUsed/>
    <w:rsid w:val="001779b2"/>
    <w:pPr/>
    <w:rPr>
      <w:sz w:val="20"/>
      <w:szCs w:val="20"/>
    </w:rPr>
  </w:style>
  <w:style w:type="paragraph" w:styleId="V1msonormal" w:customStyle="1">
    <w:name w:val="v1msonormal"/>
    <w:basedOn w:val="Normal"/>
    <w:qFormat/>
    <w:rsid w:val="008c6ce8"/>
    <w:pPr>
      <w:spacing w:beforeAutospacing="1" w:afterAutospacing="1"/>
    </w:pPr>
    <w:rPr/>
  </w:style>
  <w:style w:type="paragraph" w:styleId="V1msolistparagraph" w:customStyle="1">
    <w:name w:val="v1msolistparagraph"/>
    <w:basedOn w:val="Normal"/>
    <w:qFormat/>
    <w:rsid w:val="008c6ce8"/>
    <w:pPr>
      <w:spacing w:beforeAutospacing="1" w:afterAutospacing="1"/>
    </w:pPr>
    <w:rPr/>
  </w:style>
  <w:style w:type="paragraph" w:styleId="NIEARTTEKSTtekstnieartykuowanynppodstprawnarozplubpreambua" w:customStyle="1">
    <w:name w:val="NIEART_TEKST – tekst nieartykułowany (np. podst. prawna rozp. lub preambuła)"/>
    <w:basedOn w:val="Normal"/>
    <w:uiPriority w:val="7"/>
    <w:qFormat/>
    <w:rsid w:val="00b0314b"/>
    <w:pPr>
      <w:suppressAutoHyphens w:val="true"/>
      <w:spacing w:lineRule="auto" w:line="360" w:before="120" w:after="0"/>
      <w:ind w:firstLine="510"/>
      <w:jc w:val="both"/>
    </w:pPr>
    <w:rPr>
      <w:rFonts w:ascii="Times" w:hAnsi="Times" w:cs="Arial"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779b2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1779b2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niec.opsinfo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13CF-31E8-42AF-9C45-706DC61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LibreOffice/6.0.2.1$Windows_x86 LibreOffice_project/f7f06a8f319e4b62f9bc5095aa112a65d2f3ac89</Application>
  <Pages>11</Pages>
  <Words>4396</Words>
  <Characters>29398</Characters>
  <CharactersWithSpaces>33723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2025-05-22T14:41:00Z</dcterms:created>
  <dc:creator>Agata Paprzycka</dc:creator>
  <dc:description/>
  <dc:language>pl-PL</dc:language>
  <cp:lastModifiedBy>Agnieszka Jędrzejczak</cp:lastModifiedBy>
  <dcterms:modified xsi:type="dcterms:W3CDTF">2025-05-27T09:59:00Z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